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235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3903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59:01:5010057:207</w:t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13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59:01:1713090:82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59:01:0000000:90195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59:01:3812370:4</w:t>
            </w:r>
            <w:r>
              <w:rPr>
                <w:sz w:val="24"/>
                <w:szCs w:val="24"/>
              </w:rPr>
              <w:t xml:space="preserve">59:01:4311465:239 (18 кв.м),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59:01:4311465:235 (8 кв.м),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  <w:r>
              <w:rPr>
                <w:sz w:val="24"/>
                <w:szCs w:val="24"/>
              </w:rPr>
              <w:t xml:space="preserve">Пермского городского округа 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сервитута, адреса или иное описание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кадастровом квартале 59:01:4311465 (358 </w:t>
            </w:r>
            <w:r>
              <w:rPr>
                <w:sz w:val="24"/>
                <w:szCs w:val="24"/>
              </w:rPr>
              <w:t xml:space="preserve">кв.м)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59:01:3812178 (128 кв.м)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59:01:3812178:5 (8 кв.м)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59:01:0000000:92974 (100 кв.м)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59:01:3812178:8 (2 кв.м)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59:01:3812178:4 (29 кв.м)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59:01:3812178:2 (62 кв.м)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59:01:3812178:6 (65 кв.м)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59:01:4410034:666 (16 м2),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59:01:4410034 (136 м2),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59:01:4410034:25 (239 м2),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59:01:0000000:47120 (77 м2),</w:t>
            </w:r>
            <w:r/>
          </w:p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59:01:4410035:3 (40 м2),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59:01:4410035:16 (4 м2)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59:01:2118001:37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59:01:2118001:52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8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59:01:4713912 (205 кв.м)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59:01:4713912:704 (384 кв.м)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9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</w:r>
            <w:r>
              <w:t xml:space="preserve">59:01:0000000:95623;</w:t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</w:pPr>
            <w:r>
              <w:t xml:space="preserve"> 59:01:3919178:6;</w:t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</w:pPr>
            <w:r>
              <w:t xml:space="preserve">59:01:3919178:190; </w:t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</w:pPr>
            <w:r>
              <w:t xml:space="preserve">59:01:0000000:95635; </w:t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t xml:space="preserve">кадастровый квартал 59:01:3919178</w:t>
            </w:r>
            <w:r/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10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t xml:space="preserve">59:01:0000000:92523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11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sz w:val="24"/>
                <w:szCs w:val="24"/>
              </w:rPr>
              <w:t xml:space="preserve">59:01:4413652:7</w:t>
            </w:r>
            <w:r/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59:01:4413652:27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12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59:01:4410882:15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59:01:4410882:16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59:01:4410882:18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59:01:4410882:19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59:01:4410882:20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59:01:4410882:21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59:01:4410882:22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59:01:4410882:23</w:t>
            </w:r>
            <w:r/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59:01:4410882:698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highlight w:val="none"/>
                <w:u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59:01:4410882:13</w:t>
            </w:r>
            <w:r/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highlight w:val="none"/>
                <w:u w:val="none"/>
              </w:rPr>
            </w: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highlight w:val="none"/>
                <w:u w:val="none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13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59:01:4410727:1465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</w:tbl>
    <w:p>
      <w:pPr>
        <w:ind w:right="0" w:firstLine="284"/>
        <w:jc w:val="both"/>
      </w:pPr>
      <w:r>
        <w:rPr>
          <w:highlight w:val="none"/>
        </w:rPr>
      </w:r>
      <w:r/>
    </w:p>
    <w:p>
      <w:pPr>
        <w:ind w:right="0" w:firstLine="0"/>
        <w:jc w:val="both"/>
        <w:rPr>
          <w:highlight w:val="none"/>
        </w:rPr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>
        <w:rPr>
          <w:highlight w:val="none"/>
        </w:rPr>
      </w:r>
      <w:r>
        <w:rPr>
          <w:highlight w:val="none"/>
        </w:rPr>
      </w:r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31</w:t>
      </w:r>
      <w:r>
        <w:t xml:space="preserve">.10.2025 по 14</w:t>
      </w:r>
      <w:r>
        <w:t xml:space="preserve">.11.2025.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44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agryzkova-ea</cp:lastModifiedBy>
  <cp:revision>87</cp:revision>
  <dcterms:created xsi:type="dcterms:W3CDTF">2023-03-30T08:39:00Z</dcterms:created>
  <dcterms:modified xsi:type="dcterms:W3CDTF">2025-10-28T05:45:48Z</dcterms:modified>
  <cp:version>917504</cp:version>
</cp:coreProperties>
</file>